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08" w:rsidRDefault="000E7508" w:rsidP="000E7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проанализировала и сделала заключения на отчеты об исполнении бюджета за 9 месяцев 2018 года у 20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Доходы сельскими поселениями выполнены на 65,9-78,5%, расходы исполнены на 63,5-74,9%. Собственные доходы выполнены на 61,4-82,3%.</w:t>
      </w:r>
    </w:p>
    <w:p w:rsidR="000E7508" w:rsidRDefault="000E7508" w:rsidP="000E750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Наибольший вес в структуре расходов после финансирования общегосударственных расходов составляют расходы, направляемые на культуру.</w:t>
      </w:r>
    </w:p>
    <w:p w:rsidR="000E7508" w:rsidRDefault="000E7508" w:rsidP="000E7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7508">
        <w:rPr>
          <w:rFonts w:ascii="Times New Roman" w:hAnsi="Times New Roman" w:cs="Times New Roman"/>
          <w:sz w:val="28"/>
          <w:szCs w:val="28"/>
        </w:rPr>
        <w:t>В нарушение ст.160.1. Бюджетного Кодекса Российской Федерации допущена просроченная дебиторская задолженность практически во всех сельских поселениях допущена просроченная</w:t>
      </w:r>
      <w:r>
        <w:rPr>
          <w:rFonts w:ascii="Times New Roman" w:hAnsi="Times New Roman" w:cs="Times New Roman"/>
          <w:sz w:val="28"/>
          <w:szCs w:val="28"/>
        </w:rPr>
        <w:t xml:space="preserve"> дебиторская задолженность, достигающая, например,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946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502,5 тыс.рублей,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Биртяевском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946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349,2 тыс.рублей,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Светловском</w:t>
      </w:r>
      <w:proofErr w:type="spellEnd"/>
      <w:r w:rsidR="0009463F">
        <w:rPr>
          <w:rFonts w:ascii="Times New Roman" w:hAnsi="Times New Roman" w:cs="Times New Roman"/>
          <w:sz w:val="28"/>
          <w:szCs w:val="28"/>
        </w:rPr>
        <w:t xml:space="preserve"> сельском поселении -224,4 тыс.рублей.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508"/>
    <w:rsid w:val="0009463F"/>
    <w:rsid w:val="000E7508"/>
    <w:rsid w:val="00C37E6E"/>
    <w:rsid w:val="00F5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2019-01-15T07:46:00Z</dcterms:created>
  <dcterms:modified xsi:type="dcterms:W3CDTF">2019-01-15T08:10:00Z</dcterms:modified>
</cp:coreProperties>
</file>